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5E5" w:rsidRDefault="000D65E5">
      <w:pPr>
        <w:pStyle w:val="Title"/>
        <w:ind w:left="0" w:hanging="2"/>
        <w:rPr>
          <w:rFonts w:ascii="Cambria" w:eastAsia="Cambria" w:hAnsi="Cambria" w:cs="Cambria"/>
        </w:rPr>
      </w:pPr>
    </w:p>
    <w:p w:rsidR="000D65E5" w:rsidRDefault="007D45A4">
      <w:pPr>
        <w:pStyle w:val="Title"/>
        <w:ind w:left="0" w:hanging="2"/>
        <w:rPr>
          <w:rFonts w:ascii="Cambria" w:eastAsia="Cambria" w:hAnsi="Cambria" w:cs="Cambria"/>
        </w:rPr>
      </w:pPr>
      <w:r>
        <w:rPr>
          <w:rFonts w:ascii="Cambria" w:eastAsia="Cambria" w:hAnsi="Cambria" w:cs="Cambria"/>
        </w:rPr>
        <w:t>ISHAM Working Group Annual Report 2022</w:t>
      </w:r>
    </w:p>
    <w:p w:rsidR="000D65E5" w:rsidRDefault="000D65E5">
      <w:pPr>
        <w:ind w:left="0" w:hanging="2"/>
        <w:rPr>
          <w:rFonts w:ascii="Cambria" w:eastAsia="Cambria" w:hAnsi="Cambria" w:cs="Cambria"/>
        </w:rPr>
      </w:pPr>
    </w:p>
    <w:tbl>
      <w:tblPr>
        <w:tblStyle w:val="a"/>
        <w:tblW w:w="8472" w:type="dxa"/>
        <w:tblInd w:w="-108" w:type="dxa"/>
        <w:tblBorders>
          <w:top w:val="single" w:sz="4" w:space="0" w:color="F4B083"/>
          <w:left w:val="single" w:sz="4" w:space="0" w:color="F4B083"/>
          <w:bottom w:val="single" w:sz="4" w:space="0" w:color="F4B083"/>
          <w:right w:val="single" w:sz="4" w:space="0" w:color="F4B083"/>
          <w:insideH w:val="single" w:sz="4" w:space="0" w:color="F4B083"/>
          <w:insideV w:val="nil"/>
        </w:tblBorders>
        <w:tblLayout w:type="fixed"/>
        <w:tblLook w:val="0000" w:firstRow="0" w:lastRow="0" w:firstColumn="0" w:lastColumn="0" w:noHBand="0" w:noVBand="0"/>
      </w:tblPr>
      <w:tblGrid>
        <w:gridCol w:w="8472"/>
      </w:tblGrid>
      <w:tr w:rsidR="000D65E5">
        <w:tc>
          <w:tcPr>
            <w:tcW w:w="8472" w:type="dxa"/>
            <w:shd w:val="clear" w:color="auto" w:fill="FBE4D5"/>
          </w:tcPr>
          <w:p w:rsidR="000D65E5" w:rsidRDefault="007D45A4">
            <w:pPr>
              <w:numPr>
                <w:ilvl w:val="0"/>
                <w:numId w:val="2"/>
              </w:numPr>
              <w:spacing w:before="120" w:after="120"/>
              <w:ind w:left="0" w:hanging="2"/>
              <w:rPr>
                <w:rFonts w:ascii="Cambria" w:eastAsia="Cambria" w:hAnsi="Cambria" w:cs="Cambria"/>
                <w:color w:val="000000"/>
              </w:rPr>
            </w:pPr>
            <w:r>
              <w:rPr>
                <w:rFonts w:ascii="Cambria" w:eastAsia="Cambria" w:hAnsi="Cambria" w:cs="Cambria"/>
                <w:b/>
                <w:color w:val="000000"/>
              </w:rPr>
              <w:t>Title of Working Group</w:t>
            </w:r>
          </w:p>
        </w:tc>
      </w:tr>
      <w:tr w:rsidR="000D65E5">
        <w:tc>
          <w:tcPr>
            <w:tcW w:w="8472" w:type="dxa"/>
          </w:tcPr>
          <w:p w:rsidR="000D65E5" w:rsidRDefault="007D45A4">
            <w:pPr>
              <w:spacing w:before="120" w:after="120"/>
              <w:ind w:left="0" w:hanging="2"/>
              <w:rPr>
                <w:rFonts w:ascii="Cambria" w:eastAsia="Cambria" w:hAnsi="Cambria" w:cs="Cambria"/>
                <w:color w:val="000000"/>
              </w:rPr>
            </w:pPr>
            <w:r>
              <w:rPr>
                <w:rFonts w:ascii="Cambria" w:eastAsia="Cambria" w:hAnsi="Cambria" w:cs="Cambria"/>
                <w:color w:val="000000"/>
              </w:rPr>
              <w:t>Onygenales</w:t>
            </w:r>
          </w:p>
        </w:tc>
      </w:tr>
      <w:tr w:rsidR="000D65E5">
        <w:tc>
          <w:tcPr>
            <w:tcW w:w="8472" w:type="dxa"/>
            <w:shd w:val="clear" w:color="auto" w:fill="FBE4D5"/>
          </w:tcPr>
          <w:p w:rsidR="000D65E5" w:rsidRDefault="007D45A4">
            <w:pPr>
              <w:numPr>
                <w:ilvl w:val="0"/>
                <w:numId w:val="2"/>
              </w:numPr>
              <w:spacing w:before="120" w:after="120"/>
              <w:ind w:left="0" w:hanging="2"/>
              <w:rPr>
                <w:rFonts w:ascii="Cambria" w:eastAsia="Cambria" w:hAnsi="Cambria" w:cs="Cambria"/>
                <w:color w:val="000000"/>
              </w:rPr>
            </w:pPr>
            <w:r>
              <w:rPr>
                <w:rFonts w:ascii="Cambria" w:eastAsia="Cambria" w:hAnsi="Cambria" w:cs="Cambria"/>
                <w:b/>
                <w:color w:val="000000"/>
              </w:rPr>
              <w:t>Name(s) of Coordinator(s) with email addresses</w:t>
            </w:r>
          </w:p>
        </w:tc>
      </w:tr>
      <w:tr w:rsidR="000D65E5" w:rsidRPr="00205D8C">
        <w:tc>
          <w:tcPr>
            <w:tcW w:w="8472" w:type="dxa"/>
          </w:tcPr>
          <w:p w:rsidR="000D65E5" w:rsidRPr="00205D8C" w:rsidRDefault="007D45A4">
            <w:pPr>
              <w:spacing w:before="120" w:after="120"/>
              <w:ind w:left="0" w:hanging="2"/>
              <w:rPr>
                <w:rFonts w:ascii="Cambria" w:eastAsia="Cambria" w:hAnsi="Cambria" w:cs="Cambria"/>
                <w:lang w:val="nl-NL"/>
              </w:rPr>
            </w:pPr>
            <w:r w:rsidRPr="00205D8C">
              <w:rPr>
                <w:rFonts w:ascii="Cambria" w:eastAsia="Cambria" w:hAnsi="Cambria" w:cs="Cambria"/>
                <w:lang w:val="nl-NL"/>
              </w:rPr>
              <w:t xml:space="preserve">Hazal Kandemir: </w:t>
            </w:r>
            <w:hyperlink r:id="rId8">
              <w:r w:rsidRPr="00205D8C">
                <w:rPr>
                  <w:rFonts w:ascii="Cambria" w:eastAsia="Cambria" w:hAnsi="Cambria" w:cs="Cambria"/>
                  <w:color w:val="0563C1"/>
                  <w:u w:val="single"/>
                  <w:lang w:val="nl-NL"/>
                </w:rPr>
                <w:t>hazalkandemr@gmail.com</w:t>
              </w:r>
            </w:hyperlink>
          </w:p>
          <w:p w:rsidR="000D65E5" w:rsidRPr="00205D8C" w:rsidRDefault="007D45A4">
            <w:pPr>
              <w:spacing w:before="120" w:after="120"/>
              <w:ind w:left="0" w:hanging="2"/>
              <w:rPr>
                <w:rFonts w:ascii="Cambria" w:eastAsia="Cambria" w:hAnsi="Cambria" w:cs="Cambria"/>
                <w:lang w:val="nl-NL"/>
              </w:rPr>
            </w:pPr>
            <w:r w:rsidRPr="00205D8C">
              <w:rPr>
                <w:rFonts w:ascii="Cambria" w:eastAsia="Cambria" w:hAnsi="Cambria" w:cs="Cambria"/>
                <w:lang w:val="nl-NL"/>
              </w:rPr>
              <w:t xml:space="preserve">Ann Packeu: </w:t>
            </w:r>
            <w:hyperlink r:id="rId9">
              <w:r w:rsidRPr="00205D8C">
                <w:rPr>
                  <w:rFonts w:ascii="Cambria" w:eastAsia="Cambria" w:hAnsi="Cambria" w:cs="Cambria"/>
                  <w:color w:val="0563C1"/>
                  <w:u w:val="single"/>
                  <w:lang w:val="nl-NL"/>
                </w:rPr>
                <w:t>Ann.Packeu@sciensano.be</w:t>
              </w:r>
            </w:hyperlink>
            <w:r w:rsidRPr="00205D8C">
              <w:rPr>
                <w:rFonts w:ascii="Cambria" w:eastAsia="Cambria" w:hAnsi="Cambria" w:cs="Cambria"/>
                <w:lang w:val="nl-NL"/>
              </w:rPr>
              <w:t xml:space="preserve"> </w:t>
            </w:r>
          </w:p>
          <w:p w:rsidR="000D65E5" w:rsidRPr="00205D8C" w:rsidRDefault="007D45A4" w:rsidP="00205D8C">
            <w:pPr>
              <w:spacing w:before="120" w:after="120"/>
              <w:ind w:left="0" w:hanging="2"/>
              <w:rPr>
                <w:rFonts w:ascii="Cambria" w:eastAsia="Cambria" w:hAnsi="Cambria" w:cs="Cambria"/>
                <w:lang w:val="nl-NL"/>
              </w:rPr>
            </w:pPr>
            <w:r w:rsidRPr="00205D8C">
              <w:rPr>
                <w:rFonts w:ascii="Cambria" w:eastAsia="Cambria" w:hAnsi="Cambria" w:cs="Cambria"/>
                <w:lang w:val="nl-NL"/>
              </w:rPr>
              <w:t xml:space="preserve">Dusan Bozic: </w:t>
            </w:r>
            <w:hyperlink r:id="rId10">
              <w:r w:rsidRPr="00205D8C">
                <w:rPr>
                  <w:rFonts w:ascii="Cambria" w:eastAsia="Cambria" w:hAnsi="Cambria" w:cs="Cambria"/>
                  <w:color w:val="0563C1"/>
                  <w:u w:val="single"/>
                  <w:lang w:val="nl-NL"/>
                </w:rPr>
                <w:t>updbozic@gmail.com</w:t>
              </w:r>
            </w:hyperlink>
          </w:p>
        </w:tc>
      </w:tr>
      <w:tr w:rsidR="000D65E5">
        <w:tc>
          <w:tcPr>
            <w:tcW w:w="8472" w:type="dxa"/>
            <w:shd w:val="clear" w:color="auto" w:fill="FBE4D5"/>
          </w:tcPr>
          <w:p w:rsidR="000D65E5" w:rsidRDefault="007D45A4">
            <w:pPr>
              <w:pStyle w:val="Title"/>
              <w:numPr>
                <w:ilvl w:val="0"/>
                <w:numId w:val="2"/>
              </w:numPr>
              <w:spacing w:before="120" w:after="120"/>
              <w:ind w:left="0" w:hanging="2"/>
              <w:jc w:val="left"/>
              <w:rPr>
                <w:rFonts w:ascii="Cambria" w:eastAsia="Cambria" w:hAnsi="Cambria" w:cs="Cambria"/>
                <w:color w:val="000000"/>
              </w:rPr>
            </w:pPr>
            <w:r>
              <w:rPr>
                <w:rFonts w:ascii="Cambria" w:eastAsia="Cambria" w:hAnsi="Cambria" w:cs="Cambria"/>
                <w:color w:val="000000"/>
              </w:rPr>
              <w:t>Website URL for external website (if relevant)</w:t>
            </w:r>
          </w:p>
        </w:tc>
      </w:tr>
      <w:tr w:rsidR="000D65E5">
        <w:tc>
          <w:tcPr>
            <w:tcW w:w="8472" w:type="dxa"/>
          </w:tcPr>
          <w:p w:rsidR="000D65E5" w:rsidRDefault="00197AA5">
            <w:pPr>
              <w:spacing w:before="120" w:after="120"/>
              <w:ind w:left="0" w:hanging="2"/>
              <w:rPr>
                <w:rFonts w:ascii="Cambria" w:eastAsia="Cambria" w:hAnsi="Cambria" w:cs="Cambria"/>
                <w:color w:val="000000"/>
              </w:rPr>
            </w:pPr>
            <w:hyperlink r:id="rId11">
              <w:r w:rsidR="007D45A4">
                <w:rPr>
                  <w:rFonts w:ascii="Cambria" w:eastAsia="Cambria" w:hAnsi="Cambria" w:cs="Cambria"/>
                  <w:color w:val="0563C1"/>
                  <w:u w:val="single"/>
                </w:rPr>
                <w:t>www.onygenales.org</w:t>
              </w:r>
            </w:hyperlink>
          </w:p>
          <w:p w:rsidR="000D65E5" w:rsidRDefault="00197AA5">
            <w:pPr>
              <w:spacing w:before="120" w:after="120"/>
              <w:ind w:left="0" w:hanging="2"/>
              <w:rPr>
                <w:rFonts w:ascii="Cambria" w:eastAsia="Cambria" w:hAnsi="Cambria" w:cs="Cambria"/>
                <w:color w:val="000000"/>
              </w:rPr>
            </w:pPr>
            <w:hyperlink r:id="rId12">
              <w:r w:rsidR="007D45A4">
                <w:rPr>
                  <w:rFonts w:ascii="Cambria" w:eastAsia="Cambria" w:hAnsi="Cambria" w:cs="Cambria"/>
                  <w:color w:val="0563C1"/>
                  <w:u w:val="single"/>
                </w:rPr>
                <w:t>www.isham.org/working-groups/onygenales</w:t>
              </w:r>
            </w:hyperlink>
          </w:p>
        </w:tc>
      </w:tr>
      <w:tr w:rsidR="000D65E5">
        <w:tc>
          <w:tcPr>
            <w:tcW w:w="8472" w:type="dxa"/>
            <w:shd w:val="clear" w:color="auto" w:fill="FBE4D5"/>
          </w:tcPr>
          <w:p w:rsidR="000D65E5" w:rsidRDefault="007D45A4">
            <w:pPr>
              <w:numPr>
                <w:ilvl w:val="0"/>
                <w:numId w:val="2"/>
              </w:numPr>
              <w:spacing w:before="120" w:after="120"/>
              <w:ind w:left="0" w:hanging="2"/>
              <w:rPr>
                <w:rFonts w:ascii="Cambria" w:eastAsia="Cambria" w:hAnsi="Cambria" w:cs="Cambria"/>
                <w:color w:val="000000"/>
              </w:rPr>
            </w:pPr>
            <w:r>
              <w:rPr>
                <w:rFonts w:ascii="Cambria" w:eastAsia="Cambria" w:hAnsi="Cambria" w:cs="Cambria"/>
                <w:b/>
                <w:color w:val="000000"/>
              </w:rPr>
              <w:t>Objectives and expected outcomes for the forthcoming year</w:t>
            </w:r>
          </w:p>
        </w:tc>
      </w:tr>
      <w:tr w:rsidR="000D65E5">
        <w:tc>
          <w:tcPr>
            <w:tcW w:w="8472" w:type="dxa"/>
          </w:tcPr>
          <w:p w:rsidR="000D65E5" w:rsidRDefault="007D45A4">
            <w:pPr>
              <w:spacing w:before="120" w:after="120"/>
              <w:ind w:left="0" w:hanging="2"/>
              <w:rPr>
                <w:rFonts w:ascii="Cambria" w:eastAsia="Cambria" w:hAnsi="Cambria" w:cs="Cambria"/>
                <w:color w:val="000000"/>
              </w:rPr>
            </w:pPr>
            <w:r>
              <w:rPr>
                <w:rFonts w:ascii="Cambria" w:eastAsia="Cambria" w:hAnsi="Cambria" w:cs="Cambria"/>
                <w:color w:val="000000"/>
              </w:rPr>
              <w:t xml:space="preserve">1) We will continue focusing on resolving the taxonomy where species limits are not clearly defined (e.g. </w:t>
            </w:r>
            <w:r>
              <w:rPr>
                <w:rFonts w:ascii="Cambria" w:eastAsia="Cambria" w:hAnsi="Cambria" w:cs="Cambria"/>
                <w:i/>
                <w:color w:val="000000"/>
              </w:rPr>
              <w:t>T. mentagrophytes complex</w:t>
            </w:r>
            <w:r>
              <w:rPr>
                <w:rFonts w:ascii="Cambria" w:eastAsia="Cambria" w:hAnsi="Cambria" w:cs="Cambria"/>
                <w:color w:val="000000"/>
              </w:rPr>
              <w:t xml:space="preserve">, species in </w:t>
            </w:r>
            <w:r>
              <w:rPr>
                <w:rFonts w:ascii="Cambria" w:eastAsia="Cambria" w:hAnsi="Cambria" w:cs="Cambria"/>
                <w:i/>
                <w:color w:val="000000"/>
              </w:rPr>
              <w:t>Gymnoascaceae</w:t>
            </w:r>
            <w:r>
              <w:rPr>
                <w:rFonts w:ascii="Cambria" w:eastAsia="Cambria" w:hAnsi="Cambria" w:cs="Cambria"/>
                <w:color w:val="000000"/>
              </w:rPr>
              <w:t>).</w:t>
            </w:r>
          </w:p>
          <w:p w:rsidR="000D65E5" w:rsidRDefault="007D45A4">
            <w:pPr>
              <w:spacing w:before="120" w:after="120"/>
              <w:ind w:left="0" w:hanging="2"/>
              <w:rPr>
                <w:rFonts w:ascii="Cambria" w:eastAsia="Cambria" w:hAnsi="Cambria" w:cs="Cambria"/>
                <w:color w:val="000000"/>
              </w:rPr>
            </w:pPr>
            <w:r>
              <w:rPr>
                <w:rFonts w:ascii="Cambria" w:eastAsia="Cambria" w:hAnsi="Cambria" w:cs="Cambria"/>
                <w:color w:val="000000"/>
              </w:rPr>
              <w:t>2) We will search for new onygenalean species from different environmental and clinical sources.</w:t>
            </w:r>
          </w:p>
          <w:p w:rsidR="000D65E5" w:rsidRDefault="007D45A4">
            <w:pPr>
              <w:spacing w:before="120" w:after="120"/>
              <w:ind w:left="0" w:hanging="2"/>
              <w:rPr>
                <w:rFonts w:ascii="Cambria" w:eastAsia="Cambria" w:hAnsi="Cambria" w:cs="Cambria"/>
                <w:color w:val="000000"/>
              </w:rPr>
            </w:pPr>
            <w:r>
              <w:rPr>
                <w:rFonts w:ascii="Cambria" w:eastAsia="Cambria" w:hAnsi="Cambria" w:cs="Cambria"/>
                <w:color w:val="000000"/>
              </w:rPr>
              <w:t>3) We will continue the surveillance of emerging antifungal resistance in dermatophytes.</w:t>
            </w:r>
          </w:p>
          <w:p w:rsidR="000D65E5" w:rsidRDefault="007D45A4">
            <w:pPr>
              <w:spacing w:before="120" w:after="120"/>
              <w:ind w:left="0" w:hanging="2"/>
              <w:rPr>
                <w:rFonts w:ascii="Cambria" w:eastAsia="Cambria" w:hAnsi="Cambria" w:cs="Cambria"/>
                <w:color w:val="000000"/>
              </w:rPr>
            </w:pPr>
            <w:r>
              <w:rPr>
                <w:rFonts w:ascii="Cambria" w:eastAsia="Cambria" w:hAnsi="Cambria" w:cs="Cambria"/>
                <w:color w:val="000000"/>
              </w:rPr>
              <w:t>4) We will improve and increase the communication channels among the group members.</w:t>
            </w:r>
          </w:p>
          <w:p w:rsidR="000D65E5" w:rsidRDefault="007D45A4">
            <w:pPr>
              <w:spacing w:before="120" w:after="120"/>
              <w:ind w:left="0" w:hanging="2"/>
              <w:rPr>
                <w:rFonts w:ascii="Cambria" w:eastAsia="Cambria" w:hAnsi="Cambria" w:cs="Cambria"/>
              </w:rPr>
            </w:pPr>
            <w:r>
              <w:rPr>
                <w:rFonts w:ascii="Cambria" w:eastAsia="Cambria" w:hAnsi="Cambria" w:cs="Cambria"/>
              </w:rPr>
              <w:t xml:space="preserve">5) We will organize </w:t>
            </w:r>
            <w:r w:rsidR="00205D8C">
              <w:rPr>
                <w:rFonts w:ascii="Cambria" w:eastAsia="Cambria" w:hAnsi="Cambria" w:cs="Cambria"/>
              </w:rPr>
              <w:t xml:space="preserve">an </w:t>
            </w:r>
            <w:r>
              <w:rPr>
                <w:rFonts w:ascii="Cambria" w:eastAsia="Cambria" w:hAnsi="Cambria" w:cs="Cambria"/>
              </w:rPr>
              <w:t>internation</w:t>
            </w:r>
            <w:r w:rsidR="00205D8C">
              <w:rPr>
                <w:rFonts w:ascii="Cambria" w:eastAsia="Cambria" w:hAnsi="Cambria" w:cs="Cambria"/>
              </w:rPr>
              <w:t>al</w:t>
            </w:r>
            <w:r>
              <w:rPr>
                <w:rFonts w:ascii="Cambria" w:eastAsia="Cambria" w:hAnsi="Cambria" w:cs="Cambria"/>
              </w:rPr>
              <w:t xml:space="preserve"> workshop. </w:t>
            </w:r>
          </w:p>
        </w:tc>
      </w:tr>
      <w:tr w:rsidR="000D65E5">
        <w:tc>
          <w:tcPr>
            <w:tcW w:w="8472" w:type="dxa"/>
            <w:shd w:val="clear" w:color="auto" w:fill="FBE4D5"/>
          </w:tcPr>
          <w:p w:rsidR="000D65E5" w:rsidRDefault="007D45A4">
            <w:pPr>
              <w:numPr>
                <w:ilvl w:val="0"/>
                <w:numId w:val="2"/>
              </w:numPr>
              <w:spacing w:before="120" w:after="120"/>
              <w:ind w:left="0" w:hanging="2"/>
              <w:rPr>
                <w:rFonts w:ascii="Cambria" w:eastAsia="Cambria" w:hAnsi="Cambria" w:cs="Cambria"/>
                <w:color w:val="000000"/>
              </w:rPr>
            </w:pPr>
            <w:r>
              <w:rPr>
                <w:rFonts w:ascii="Cambria" w:eastAsia="Cambria" w:hAnsi="Cambria" w:cs="Cambria"/>
                <w:b/>
                <w:color w:val="000000"/>
              </w:rPr>
              <w:t>Achievements of the Working Group in 2022 (250 words)</w:t>
            </w:r>
            <w:r>
              <w:rPr>
                <w:rFonts w:ascii="Cambria" w:eastAsia="Cambria" w:hAnsi="Cambria" w:cs="Cambria"/>
                <w:b/>
                <w:color w:val="000000"/>
                <w:vertAlign w:val="superscript"/>
              </w:rPr>
              <w:t xml:space="preserve"> 1-3</w:t>
            </w:r>
          </w:p>
        </w:tc>
      </w:tr>
      <w:tr w:rsidR="000D65E5">
        <w:tc>
          <w:tcPr>
            <w:tcW w:w="8472" w:type="dxa"/>
          </w:tcPr>
          <w:p w:rsidR="000D65E5" w:rsidRDefault="00944091">
            <w:pPr>
              <w:spacing w:before="120" w:after="120"/>
              <w:ind w:left="0" w:hanging="2"/>
              <w:rPr>
                <w:rFonts w:ascii="Cambria" w:eastAsia="Cambria" w:hAnsi="Cambria" w:cs="Cambria"/>
                <w:color w:val="000000"/>
              </w:rPr>
            </w:pPr>
            <w:r>
              <w:rPr>
                <w:rFonts w:ascii="Cambria" w:eastAsia="Cambria" w:hAnsi="Cambria" w:cs="Cambria"/>
                <w:color w:val="000000"/>
              </w:rPr>
              <w:t>1) Several research products</w:t>
            </w:r>
            <w:bookmarkStart w:id="0" w:name="_GoBack"/>
            <w:bookmarkEnd w:id="0"/>
            <w:r w:rsidR="007D45A4">
              <w:rPr>
                <w:rFonts w:ascii="Cambria" w:eastAsia="Cambria" w:hAnsi="Cambria" w:cs="Cambria"/>
                <w:color w:val="000000"/>
              </w:rPr>
              <w:t xml:space="preserve"> about the taxonomy and identification of the species in </w:t>
            </w:r>
            <w:r w:rsidR="007D45A4">
              <w:rPr>
                <w:rFonts w:ascii="Cambria" w:eastAsia="Cambria" w:hAnsi="Cambria" w:cs="Cambria"/>
                <w:i/>
                <w:color w:val="000000"/>
              </w:rPr>
              <w:t>Onygenales</w:t>
            </w:r>
            <w:r w:rsidR="007D45A4">
              <w:rPr>
                <w:rFonts w:ascii="Cambria" w:eastAsia="Cambria" w:hAnsi="Cambria" w:cs="Cambria"/>
                <w:color w:val="000000"/>
              </w:rPr>
              <w:t xml:space="preserve"> have been published.  </w:t>
            </w:r>
          </w:p>
          <w:p w:rsidR="000D65E5" w:rsidRDefault="007D45A4">
            <w:pPr>
              <w:spacing w:before="120" w:after="120"/>
              <w:ind w:left="0" w:hanging="2"/>
              <w:rPr>
                <w:rFonts w:ascii="Cambria" w:eastAsia="Cambria" w:hAnsi="Cambria" w:cs="Cambria"/>
                <w:color w:val="000000"/>
              </w:rPr>
            </w:pPr>
            <w:r>
              <w:rPr>
                <w:rFonts w:ascii="Cambria" w:eastAsia="Cambria" w:hAnsi="Cambria" w:cs="Cambria"/>
                <w:color w:val="000000"/>
              </w:rPr>
              <w:t>2) New members joined the Working Group.</w:t>
            </w:r>
          </w:p>
        </w:tc>
      </w:tr>
      <w:tr w:rsidR="000D65E5">
        <w:tc>
          <w:tcPr>
            <w:tcW w:w="8472" w:type="dxa"/>
            <w:shd w:val="clear" w:color="auto" w:fill="FBE4D5"/>
          </w:tcPr>
          <w:p w:rsidR="000D65E5" w:rsidRDefault="007D45A4">
            <w:pPr>
              <w:pStyle w:val="Title"/>
              <w:numPr>
                <w:ilvl w:val="0"/>
                <w:numId w:val="2"/>
              </w:numPr>
              <w:spacing w:before="120" w:after="120"/>
              <w:ind w:left="0" w:hanging="2"/>
              <w:jc w:val="left"/>
              <w:rPr>
                <w:rFonts w:ascii="Cambria" w:eastAsia="Cambria" w:hAnsi="Cambria" w:cs="Cambria"/>
                <w:color w:val="000000"/>
              </w:rPr>
            </w:pPr>
            <w:r>
              <w:rPr>
                <w:rFonts w:ascii="Cambria" w:eastAsia="Cambria" w:hAnsi="Cambria" w:cs="Cambria"/>
                <w:color w:val="000000"/>
              </w:rPr>
              <w:t xml:space="preserve">Publications arising from the Working Group </w:t>
            </w:r>
          </w:p>
        </w:tc>
      </w:tr>
      <w:tr w:rsidR="000D65E5">
        <w:tc>
          <w:tcPr>
            <w:tcW w:w="8472" w:type="dxa"/>
          </w:tcPr>
          <w:p w:rsidR="000D65E5" w:rsidRDefault="007D45A4">
            <w:pPr>
              <w:spacing w:after="120"/>
              <w:ind w:left="0" w:hanging="2"/>
              <w:rPr>
                <w:rFonts w:ascii="Cambria" w:eastAsia="Cambria" w:hAnsi="Cambria" w:cs="Cambria"/>
                <w:color w:val="000000"/>
              </w:rPr>
            </w:pPr>
            <w:r>
              <w:rPr>
                <w:rFonts w:ascii="Cambria" w:eastAsia="Cambria" w:hAnsi="Cambria" w:cs="Cambria"/>
                <w:color w:val="000000"/>
              </w:rPr>
              <w:t>1) Čmoková A, Kolařík M, Guillot J, Risco-Castillo V, Cabañes FJ, Nenoff P, Uhrlaß S, Dobiáš R, Mallátová N, Yaguchi T, Kano R, Kuklová I, Lysková P, Mencl K, Hamal P, Peano A, Hubka V.</w:t>
            </w:r>
            <w:r>
              <w:rPr>
                <w:rFonts w:ascii="Cambria" w:eastAsia="Cambria" w:hAnsi="Cambria" w:cs="Cambria"/>
              </w:rPr>
              <w:t xml:space="preserve"> </w:t>
            </w:r>
            <w:r>
              <w:rPr>
                <w:rFonts w:ascii="Cambria" w:eastAsia="Cambria" w:hAnsi="Cambria" w:cs="Cambria"/>
                <w:color w:val="000000"/>
              </w:rPr>
              <w:t xml:space="preserve">Host-driven subspeciation in the hedgehog fungus, </w:t>
            </w:r>
            <w:r>
              <w:rPr>
                <w:rFonts w:ascii="Cambria" w:eastAsia="Cambria" w:hAnsi="Cambria" w:cs="Cambria"/>
                <w:i/>
                <w:color w:val="000000"/>
              </w:rPr>
              <w:t>Trichophyton erinacei</w:t>
            </w:r>
            <w:r>
              <w:rPr>
                <w:rFonts w:ascii="Cambria" w:eastAsia="Cambria" w:hAnsi="Cambria" w:cs="Cambria"/>
                <w:color w:val="000000"/>
              </w:rPr>
              <w:t>, an emerging cause of human dermatophytosis.</w:t>
            </w:r>
            <w:r>
              <w:rPr>
                <w:rFonts w:ascii="Cambria" w:eastAsia="Cambria" w:hAnsi="Cambria" w:cs="Cambria"/>
              </w:rPr>
              <w:t xml:space="preserve"> </w:t>
            </w:r>
            <w:r>
              <w:rPr>
                <w:rFonts w:ascii="Cambria" w:eastAsia="Cambria" w:hAnsi="Cambria" w:cs="Cambria"/>
                <w:color w:val="000000"/>
              </w:rPr>
              <w:t>Persoonia - Molecular Phylogeny and Evolution of Fungi 2022;48:203-218(16).</w:t>
            </w:r>
          </w:p>
          <w:p w:rsidR="000D65E5" w:rsidRDefault="007D45A4">
            <w:pPr>
              <w:spacing w:after="120"/>
              <w:ind w:left="0" w:hanging="2"/>
              <w:rPr>
                <w:rFonts w:ascii="Cambria" w:eastAsia="Cambria" w:hAnsi="Cambria" w:cs="Cambria"/>
                <w:color w:val="000000"/>
              </w:rPr>
            </w:pPr>
            <w:r>
              <w:rPr>
                <w:rFonts w:ascii="Cambria" w:eastAsia="Cambria" w:hAnsi="Cambria" w:cs="Cambria"/>
                <w:color w:val="000000"/>
              </w:rPr>
              <w:lastRenderedPageBreak/>
              <w:t xml:space="preserve">2) Aneke CI, Čmoková A, Hubka V, Rhimi W, Otranto D, Cafarchia C. Subtyping options for </w:t>
            </w:r>
            <w:r>
              <w:rPr>
                <w:rFonts w:ascii="Cambria" w:eastAsia="Cambria" w:hAnsi="Cambria" w:cs="Cambria"/>
                <w:i/>
                <w:color w:val="000000"/>
              </w:rPr>
              <w:t>Microsporum canis</w:t>
            </w:r>
            <w:r>
              <w:rPr>
                <w:rFonts w:ascii="Cambria" w:eastAsia="Cambria" w:hAnsi="Cambria" w:cs="Cambria"/>
                <w:color w:val="000000"/>
              </w:rPr>
              <w:t xml:space="preserve"> using microsatellites and MLST: A case study from southern Italy. Pathogens. 2022;11(1):4.</w:t>
            </w:r>
          </w:p>
          <w:p w:rsidR="000D65E5" w:rsidRDefault="007D45A4">
            <w:pPr>
              <w:spacing w:after="120"/>
              <w:ind w:left="0" w:hanging="2"/>
              <w:rPr>
                <w:rFonts w:ascii="Cambria" w:eastAsia="Cambria" w:hAnsi="Cambria" w:cs="Cambria"/>
                <w:color w:val="000000"/>
              </w:rPr>
            </w:pPr>
            <w:r>
              <w:rPr>
                <w:rFonts w:ascii="Cambria" w:eastAsia="Cambria" w:hAnsi="Cambria" w:cs="Cambria"/>
                <w:color w:val="000000"/>
              </w:rPr>
              <w:t xml:space="preserve">3) Kandemir H, Dukik K, de Melo Teixeira M, Stielow JB, Delma FZ, Al-Hatmi AMS, Ahmed SA, Ilkit M, de Hoog GS. Phylogenetic and ecological reevaluation of the order </w:t>
            </w:r>
            <w:r>
              <w:rPr>
                <w:rFonts w:ascii="Cambria" w:eastAsia="Cambria" w:hAnsi="Cambria" w:cs="Cambria"/>
                <w:i/>
                <w:color w:val="000000"/>
              </w:rPr>
              <w:t>Onygenales</w:t>
            </w:r>
            <w:r>
              <w:rPr>
                <w:rFonts w:ascii="Cambria" w:eastAsia="Cambria" w:hAnsi="Cambria" w:cs="Cambria"/>
                <w:color w:val="000000"/>
              </w:rPr>
              <w:t>. Fungal Diversity 2022;115:1–72.</w:t>
            </w:r>
          </w:p>
        </w:tc>
      </w:tr>
      <w:tr w:rsidR="000D65E5">
        <w:tc>
          <w:tcPr>
            <w:tcW w:w="8472" w:type="dxa"/>
            <w:shd w:val="clear" w:color="auto" w:fill="FBE4D5"/>
          </w:tcPr>
          <w:p w:rsidR="000D65E5" w:rsidRDefault="007D45A4">
            <w:pPr>
              <w:pStyle w:val="Title"/>
              <w:numPr>
                <w:ilvl w:val="0"/>
                <w:numId w:val="2"/>
              </w:numPr>
              <w:spacing w:before="120" w:after="120"/>
              <w:ind w:left="0" w:hanging="2"/>
              <w:jc w:val="left"/>
              <w:rPr>
                <w:rFonts w:ascii="Cambria" w:eastAsia="Cambria" w:hAnsi="Cambria" w:cs="Cambria"/>
                <w:color w:val="000000"/>
              </w:rPr>
            </w:pPr>
            <w:r>
              <w:rPr>
                <w:rFonts w:ascii="Cambria" w:eastAsia="Cambria" w:hAnsi="Cambria" w:cs="Cambria"/>
                <w:color w:val="000000"/>
              </w:rPr>
              <w:lastRenderedPageBreak/>
              <w:t>Funding provided by ISHAM in the past 3 years (Budget and year)</w:t>
            </w:r>
          </w:p>
        </w:tc>
      </w:tr>
      <w:tr w:rsidR="000D65E5">
        <w:tc>
          <w:tcPr>
            <w:tcW w:w="8472" w:type="dxa"/>
          </w:tcPr>
          <w:p w:rsidR="000D65E5" w:rsidRDefault="007D45A4">
            <w:pPr>
              <w:spacing w:before="120" w:after="120"/>
              <w:ind w:left="0" w:hanging="2"/>
              <w:rPr>
                <w:rFonts w:ascii="Cambria" w:eastAsia="Cambria" w:hAnsi="Cambria" w:cs="Cambria"/>
              </w:rPr>
            </w:pPr>
            <w:r>
              <w:rPr>
                <w:rFonts w:ascii="Cambria" w:eastAsia="Cambria" w:hAnsi="Cambria" w:cs="Cambria"/>
                <w:b/>
              </w:rPr>
              <w:t>2020:</w:t>
            </w:r>
            <w:r>
              <w:rPr>
                <w:rFonts w:ascii="Cambria" w:eastAsia="Cambria" w:hAnsi="Cambria" w:cs="Cambria"/>
              </w:rPr>
              <w:t xml:space="preserve"> 5000 CHF (workshop “Basic and clinical research advances in dermatophytes and dimorphic fungi” organized in Prague, Czech Republic) </w:t>
            </w:r>
          </w:p>
          <w:p w:rsidR="000D65E5" w:rsidRDefault="007D45A4">
            <w:pPr>
              <w:spacing w:before="120" w:after="120"/>
              <w:ind w:left="0" w:hanging="2"/>
              <w:rPr>
                <w:rFonts w:ascii="Cambria" w:eastAsia="Cambria" w:hAnsi="Cambria" w:cs="Cambria"/>
              </w:rPr>
            </w:pPr>
            <w:r>
              <w:rPr>
                <w:rFonts w:ascii="Cambria" w:eastAsia="Cambria" w:hAnsi="Cambria" w:cs="Cambria"/>
                <w:b/>
              </w:rPr>
              <w:t>2021:</w:t>
            </w:r>
            <w:r>
              <w:rPr>
                <w:rFonts w:ascii="Cambria" w:eastAsia="Cambria" w:hAnsi="Cambria" w:cs="Cambria"/>
              </w:rPr>
              <w:t xml:space="preserve"> None</w:t>
            </w:r>
          </w:p>
          <w:p w:rsidR="000D65E5" w:rsidRDefault="007D45A4">
            <w:pPr>
              <w:spacing w:before="120" w:after="120"/>
              <w:ind w:left="0" w:hanging="2"/>
              <w:rPr>
                <w:rFonts w:ascii="Cambria" w:eastAsia="Cambria" w:hAnsi="Cambria" w:cs="Cambria"/>
                <w:color w:val="000000"/>
              </w:rPr>
            </w:pPr>
            <w:r>
              <w:rPr>
                <w:rFonts w:ascii="Cambria" w:eastAsia="Cambria" w:hAnsi="Cambria" w:cs="Cambria"/>
                <w:b/>
                <w:color w:val="000000"/>
              </w:rPr>
              <w:t xml:space="preserve">2022: </w:t>
            </w:r>
            <w:r>
              <w:rPr>
                <w:rFonts w:ascii="Cambria" w:eastAsia="Cambria" w:hAnsi="Cambria" w:cs="Cambria"/>
                <w:color w:val="000000"/>
              </w:rPr>
              <w:t>None</w:t>
            </w:r>
          </w:p>
        </w:tc>
      </w:tr>
    </w:tbl>
    <w:p w:rsidR="000D65E5" w:rsidRDefault="007D45A4">
      <w:pPr>
        <w:spacing w:before="120" w:after="120"/>
        <w:ind w:left="0" w:hanging="2"/>
        <w:rPr>
          <w:rFonts w:ascii="Cambria" w:eastAsia="Cambria" w:hAnsi="Cambria" w:cs="Cambria"/>
          <w:color w:val="000000"/>
        </w:rPr>
      </w:pPr>
      <w:r>
        <w:rPr>
          <w:rFonts w:ascii="Cambria" w:eastAsia="Cambria" w:hAnsi="Cambria" w:cs="Cambria"/>
          <w:color w:val="000000"/>
          <w:vertAlign w:val="superscript"/>
        </w:rPr>
        <w:t xml:space="preserve">1 </w:t>
      </w:r>
      <w:r>
        <w:rPr>
          <w:rFonts w:ascii="Cambria" w:eastAsia="Cambria" w:hAnsi="Cambria" w:cs="Cambria"/>
          <w:color w:val="000000"/>
        </w:rPr>
        <w:t>The achievement arising from the Working Group with acknowledge its status within ISHAM by explicitly including the phrase “ISHAM Working Group” in all public and professional publications, workshop programs, lectures, its website or similar activities.</w:t>
      </w:r>
    </w:p>
    <w:p w:rsidR="000D65E5" w:rsidRDefault="007D45A4">
      <w:pPr>
        <w:ind w:left="0" w:hanging="2"/>
        <w:rPr>
          <w:rFonts w:ascii="Cambria" w:eastAsia="Cambria" w:hAnsi="Cambria" w:cs="Cambria"/>
          <w:color w:val="000000"/>
        </w:rPr>
      </w:pPr>
      <w:r>
        <w:rPr>
          <w:rFonts w:ascii="Cambria" w:eastAsia="Cambria" w:hAnsi="Cambria" w:cs="Cambria"/>
          <w:color w:val="000000"/>
          <w:vertAlign w:val="superscript"/>
        </w:rPr>
        <w:t>2</w:t>
      </w:r>
      <w:r>
        <w:rPr>
          <w:rFonts w:ascii="Cambria" w:eastAsia="Cambria" w:hAnsi="Cambria" w:cs="Cambria"/>
          <w:color w:val="000000"/>
        </w:rPr>
        <w:t xml:space="preserve"> Achievements of the Working Group include but not limited to the following:</w:t>
      </w:r>
    </w:p>
    <w:p w:rsidR="000D65E5" w:rsidRDefault="007D45A4">
      <w:pPr>
        <w:numPr>
          <w:ilvl w:val="0"/>
          <w:numId w:val="1"/>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 xml:space="preserve">meeting/workshop/training course/symposium of the working group, </w:t>
      </w:r>
    </w:p>
    <w:p w:rsidR="000D65E5" w:rsidRDefault="007D45A4">
      <w:pPr>
        <w:numPr>
          <w:ilvl w:val="0"/>
          <w:numId w:val="1"/>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 xml:space="preserve">peer-reviewed publication, </w:t>
      </w:r>
    </w:p>
    <w:p w:rsidR="000D65E5" w:rsidRDefault="007D45A4">
      <w:pPr>
        <w:numPr>
          <w:ilvl w:val="0"/>
          <w:numId w:val="1"/>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 xml:space="preserve">presentation (symposium, oral or poster paper) from working group during ISHAM congress, </w:t>
      </w:r>
    </w:p>
    <w:p w:rsidR="000D65E5" w:rsidRDefault="007D45A4">
      <w:pPr>
        <w:numPr>
          <w:ilvl w:val="0"/>
          <w:numId w:val="1"/>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 xml:space="preserve">contribute material to the main ISHAM website and its regular newsletter. </w:t>
      </w:r>
    </w:p>
    <w:p w:rsidR="000D65E5" w:rsidRDefault="007D45A4">
      <w:pPr>
        <w:numPr>
          <w:ilvl w:val="0"/>
          <w:numId w:val="1"/>
        </w:num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Increase ISHAM members, strengthen link between ISHAM and working group, and enhance visibility of ISHAM.</w:t>
      </w:r>
    </w:p>
    <w:p w:rsidR="000D65E5" w:rsidRDefault="007D45A4">
      <w:pPr>
        <w:ind w:left="0" w:hanging="2"/>
        <w:rPr>
          <w:rFonts w:ascii="Cambria" w:eastAsia="Cambria" w:hAnsi="Cambria" w:cs="Cambria"/>
          <w:color w:val="000000"/>
        </w:rPr>
      </w:pPr>
      <w:r>
        <w:rPr>
          <w:rFonts w:ascii="Cambria" w:eastAsia="Cambria" w:hAnsi="Cambria" w:cs="Cambria"/>
          <w:color w:val="000000"/>
          <w:vertAlign w:val="superscript"/>
        </w:rPr>
        <w:t>3</w:t>
      </w:r>
      <w:r>
        <w:rPr>
          <w:rFonts w:ascii="Cambria" w:eastAsia="Cambria" w:hAnsi="Cambria" w:cs="Cambria"/>
          <w:color w:val="000000"/>
        </w:rPr>
        <w:t xml:space="preserve"> Supporting information for achievements are welcome.</w:t>
      </w:r>
    </w:p>
    <w:p w:rsidR="000D65E5" w:rsidRDefault="000D65E5">
      <w:pPr>
        <w:spacing w:before="120" w:after="120"/>
        <w:ind w:left="0" w:hanging="2"/>
        <w:rPr>
          <w:rFonts w:ascii="Cambria" w:eastAsia="Cambria" w:hAnsi="Cambria" w:cs="Cambria"/>
        </w:rPr>
      </w:pPr>
    </w:p>
    <w:sectPr w:rsidR="000D65E5">
      <w:footerReference w:type="default" r:id="rId13"/>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AA5" w:rsidRDefault="00197AA5">
      <w:pPr>
        <w:spacing w:line="240" w:lineRule="auto"/>
        <w:ind w:left="0" w:hanging="2"/>
      </w:pPr>
      <w:r>
        <w:separator/>
      </w:r>
    </w:p>
  </w:endnote>
  <w:endnote w:type="continuationSeparator" w:id="0">
    <w:p w:rsidR="00197AA5" w:rsidRDefault="00197AA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5E5" w:rsidRDefault="007D45A4">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205D8C">
      <w:rPr>
        <w:noProof/>
        <w:color w:val="000000"/>
        <w:sz w:val="20"/>
        <w:szCs w:val="20"/>
      </w:rPr>
      <w:t>1</w:t>
    </w:r>
    <w:r>
      <w:rPr>
        <w:color w:val="000000"/>
        <w:sz w:val="20"/>
        <w:szCs w:val="20"/>
      </w:rPr>
      <w:fldChar w:fldCharType="end"/>
    </w:r>
  </w:p>
  <w:p w:rsidR="000D65E5" w:rsidRDefault="000D65E5">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AA5" w:rsidRDefault="00197AA5">
      <w:pPr>
        <w:spacing w:line="240" w:lineRule="auto"/>
        <w:ind w:left="0" w:hanging="2"/>
      </w:pPr>
      <w:r>
        <w:separator/>
      </w:r>
    </w:p>
  </w:footnote>
  <w:footnote w:type="continuationSeparator" w:id="0">
    <w:p w:rsidR="00197AA5" w:rsidRDefault="00197AA5">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43574"/>
    <w:multiLevelType w:val="multilevel"/>
    <w:tmpl w:val="DEE212F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7F5C4CB8"/>
    <w:multiLevelType w:val="multilevel"/>
    <w:tmpl w:val="C39479B4"/>
    <w:lvl w:ilvl="0">
      <w:start w:val="1"/>
      <w:numFmt w:val="bullet"/>
      <w:lvlText w:val="o"/>
      <w:lvlJc w:val="left"/>
      <w:pPr>
        <w:ind w:left="480" w:hanging="360"/>
      </w:pPr>
      <w:rPr>
        <w:rFonts w:ascii="Courier New" w:eastAsia="Courier New" w:hAnsi="Courier New" w:cs="Courier New"/>
        <w:vertAlign w:val="baseline"/>
      </w:rPr>
    </w:lvl>
    <w:lvl w:ilvl="1">
      <w:start w:val="1"/>
      <w:numFmt w:val="bullet"/>
      <w:lvlText w:val="■"/>
      <w:lvlJc w:val="left"/>
      <w:pPr>
        <w:ind w:left="1080" w:hanging="480"/>
      </w:pPr>
      <w:rPr>
        <w:rFonts w:ascii="Noto Sans Symbols" w:eastAsia="Noto Sans Symbols" w:hAnsi="Noto Sans Symbols" w:cs="Noto Sans Symbols"/>
        <w:vertAlign w:val="baseline"/>
      </w:rPr>
    </w:lvl>
    <w:lvl w:ilvl="2">
      <w:start w:val="1"/>
      <w:numFmt w:val="bullet"/>
      <w:lvlText w:val="◆"/>
      <w:lvlJc w:val="left"/>
      <w:pPr>
        <w:ind w:left="1560" w:hanging="480"/>
      </w:pPr>
      <w:rPr>
        <w:rFonts w:ascii="Noto Sans Symbols" w:eastAsia="Noto Sans Symbols" w:hAnsi="Noto Sans Symbols" w:cs="Noto Sans Symbols"/>
        <w:vertAlign w:val="baseline"/>
      </w:rPr>
    </w:lvl>
    <w:lvl w:ilvl="3">
      <w:start w:val="1"/>
      <w:numFmt w:val="bullet"/>
      <w:lvlText w:val="●"/>
      <w:lvlJc w:val="left"/>
      <w:pPr>
        <w:ind w:left="2040" w:hanging="480"/>
      </w:pPr>
      <w:rPr>
        <w:rFonts w:ascii="Noto Sans Symbols" w:eastAsia="Noto Sans Symbols" w:hAnsi="Noto Sans Symbols" w:cs="Noto Sans Symbols"/>
        <w:vertAlign w:val="baseline"/>
      </w:rPr>
    </w:lvl>
    <w:lvl w:ilvl="4">
      <w:start w:val="1"/>
      <w:numFmt w:val="bullet"/>
      <w:lvlText w:val="■"/>
      <w:lvlJc w:val="left"/>
      <w:pPr>
        <w:ind w:left="2520" w:hanging="480"/>
      </w:pPr>
      <w:rPr>
        <w:rFonts w:ascii="Noto Sans Symbols" w:eastAsia="Noto Sans Symbols" w:hAnsi="Noto Sans Symbols" w:cs="Noto Sans Symbols"/>
        <w:vertAlign w:val="baseline"/>
      </w:rPr>
    </w:lvl>
    <w:lvl w:ilvl="5">
      <w:start w:val="1"/>
      <w:numFmt w:val="bullet"/>
      <w:lvlText w:val="◆"/>
      <w:lvlJc w:val="left"/>
      <w:pPr>
        <w:ind w:left="3000" w:hanging="480"/>
      </w:pPr>
      <w:rPr>
        <w:rFonts w:ascii="Noto Sans Symbols" w:eastAsia="Noto Sans Symbols" w:hAnsi="Noto Sans Symbols" w:cs="Noto Sans Symbols"/>
        <w:vertAlign w:val="baseline"/>
      </w:rPr>
    </w:lvl>
    <w:lvl w:ilvl="6">
      <w:start w:val="1"/>
      <w:numFmt w:val="bullet"/>
      <w:lvlText w:val="●"/>
      <w:lvlJc w:val="left"/>
      <w:pPr>
        <w:ind w:left="3480" w:hanging="480"/>
      </w:pPr>
      <w:rPr>
        <w:rFonts w:ascii="Noto Sans Symbols" w:eastAsia="Noto Sans Symbols" w:hAnsi="Noto Sans Symbols" w:cs="Noto Sans Symbols"/>
        <w:vertAlign w:val="baseline"/>
      </w:rPr>
    </w:lvl>
    <w:lvl w:ilvl="7">
      <w:start w:val="1"/>
      <w:numFmt w:val="bullet"/>
      <w:lvlText w:val="■"/>
      <w:lvlJc w:val="left"/>
      <w:pPr>
        <w:ind w:left="3960" w:hanging="480"/>
      </w:pPr>
      <w:rPr>
        <w:rFonts w:ascii="Noto Sans Symbols" w:eastAsia="Noto Sans Symbols" w:hAnsi="Noto Sans Symbols" w:cs="Noto Sans Symbols"/>
        <w:vertAlign w:val="baseline"/>
      </w:rPr>
    </w:lvl>
    <w:lvl w:ilvl="8">
      <w:start w:val="1"/>
      <w:numFmt w:val="bullet"/>
      <w:lvlText w:val="◆"/>
      <w:lvlJc w:val="left"/>
      <w:pPr>
        <w:ind w:left="4440" w:hanging="48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E5"/>
    <w:rsid w:val="000D65E5"/>
    <w:rsid w:val="00197AA5"/>
    <w:rsid w:val="00205D8C"/>
    <w:rsid w:val="007D45A4"/>
    <w:rsid w:val="0094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DA23"/>
  <w15:docId w15:val="{4536441F-2091-457F-9149-2BE0BAA5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rPr>
  </w:style>
  <w:style w:type="character" w:styleId="Hyperlink">
    <w:name w:val="Hyperlink"/>
    <w:qFormat/>
    <w:rPr>
      <w:color w:val="0563C1"/>
      <w:w w:val="100"/>
      <w:position w:val="-1"/>
      <w:u w:val="single"/>
      <w:effect w:val="none"/>
      <w:vertAlign w:val="baseline"/>
      <w:cs w:val="0"/>
      <w:em w:val="none"/>
    </w:rPr>
  </w:style>
  <w:style w:type="paragraph" w:styleId="Header">
    <w:name w:val="header"/>
    <w:basedOn w:val="Normal"/>
    <w:qFormat/>
    <w:pPr>
      <w:tabs>
        <w:tab w:val="center" w:pos="4153"/>
        <w:tab w:val="right" w:pos="8306"/>
      </w:tabs>
    </w:pPr>
    <w:rPr>
      <w:sz w:val="20"/>
      <w:szCs w:val="20"/>
    </w:rPr>
  </w:style>
  <w:style w:type="character" w:customStyle="1" w:styleId="HeaderChar">
    <w:name w:val="Header Char"/>
    <w:rPr>
      <w:w w:val="100"/>
      <w:position w:val="-1"/>
      <w:effect w:val="none"/>
      <w:vertAlign w:val="baseline"/>
      <w:cs w:val="0"/>
      <w:em w:val="none"/>
      <w:lang w:eastAsia="en-US"/>
    </w:rPr>
  </w:style>
  <w:style w:type="paragraph" w:styleId="Footer">
    <w:name w:val="footer"/>
    <w:basedOn w:val="Normal"/>
    <w:qFormat/>
    <w:pPr>
      <w:tabs>
        <w:tab w:val="center" w:pos="4153"/>
        <w:tab w:val="right" w:pos="8306"/>
      </w:tabs>
    </w:pPr>
    <w:rPr>
      <w:sz w:val="20"/>
      <w:szCs w:val="20"/>
    </w:rPr>
  </w:style>
  <w:style w:type="character" w:customStyle="1" w:styleId="FooterChar">
    <w:name w:val="Footer Char"/>
    <w:rPr>
      <w:w w:val="100"/>
      <w:position w:val="-1"/>
      <w:effect w:val="none"/>
      <w:vertAlign w:val="baseline"/>
      <w:cs w:val="0"/>
      <w:em w:val="none"/>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
    <w:name w:val="List Table 2"/>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666666"/>
        <w:bottom w:val="single" w:sz="4" w:space="0" w:color="666666"/>
        <w:insideH w:val="single" w:sz="4" w:space="0" w:color="666666"/>
      </w:tblBorders>
    </w:tblPr>
  </w:style>
  <w:style w:type="table" w:styleId="ListTable2-Accent5">
    <w:name w:val="List Table 2 Accent 5"/>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8EAADB"/>
        <w:bottom w:val="single" w:sz="4" w:space="0" w:color="8EAADB"/>
        <w:insideH w:val="single" w:sz="4" w:space="0" w:color="8EAADB"/>
      </w:tblBorders>
    </w:tblPr>
  </w:style>
  <w:style w:type="table" w:styleId="ListTable2-Accent2">
    <w:name w:val="List Table 2 Accent 2"/>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4B083"/>
        <w:bottom w:val="single" w:sz="4" w:space="0" w:color="F4B083"/>
        <w:insideH w:val="single" w:sz="4" w:space="0" w:color="F4B083"/>
      </w:tblBorders>
    </w:tblPr>
  </w:style>
  <w:style w:type="character" w:customStyle="1" w:styleId="TitleChar">
    <w:name w:val="Title Char"/>
    <w:rPr>
      <w:b/>
      <w:bCs/>
      <w:w w:val="100"/>
      <w:position w:val="-1"/>
      <w:sz w:val="24"/>
      <w:szCs w:val="24"/>
      <w:effect w:val="none"/>
      <w:vertAlign w:val="baseline"/>
      <w:cs w:val="0"/>
      <w:em w:val="none"/>
      <w:lang w:eastAsia="en-US"/>
    </w:rPr>
  </w:style>
  <w:style w:type="paragraph" w:styleId="ListParagraph">
    <w:name w:val="List Paragraph"/>
    <w:basedOn w:val="Normal"/>
    <w:pPr>
      <w:widowControl w:val="0"/>
      <w:ind w:leftChars="200" w:left="480"/>
    </w:pPr>
    <w:rPr>
      <w:rFonts w:ascii="Calibri" w:eastAsia="PMingLiU" w:hAnsi="Calibri"/>
      <w:kern w:val="2"/>
      <w:szCs w:val="22"/>
      <w:lang w:eastAsia="zh-TW"/>
    </w:rPr>
  </w:style>
  <w:style w:type="table" w:styleId="ListTable4-Accent2">
    <w:name w:val="List Table 4 Accent 2"/>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azalkandemr@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ham.org/working-groups/onygena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ygenales.org/abou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pdbozic@gmail.com" TargetMode="External"/><Relationship Id="rId4" Type="http://schemas.openxmlformats.org/officeDocument/2006/relationships/settings" Target="settings.xml"/><Relationship Id="rId9" Type="http://schemas.openxmlformats.org/officeDocument/2006/relationships/hyperlink" Target="mailto:Ann.Packeu@sciensano.b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SL0G3vG1y9aRGCfwe2SR6J8ZTw==">AMUW2mXF7V3N5IjYWLbMgP8gQb8iVAWQCVZpzMl8WPaW6dQlDJiBFsevF/A0TX041rS+BuAMPZ/udMccx1Y8dUAzD7CrkCJhb8/NGexmY8SPim1Wj4zNWKs=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2704</Characters>
  <Application>Microsoft Office Word</Application>
  <DocSecurity>0</DocSecurity>
  <Lines>22</Lines>
  <Paragraphs>6</Paragraphs>
  <ScaleCrop>false</ScaleCrop>
  <Company>KNAW</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Aristea Velegraki</dc:creator>
  <cp:lastModifiedBy>Don Sheppard</cp:lastModifiedBy>
  <cp:revision>3</cp:revision>
  <dcterms:created xsi:type="dcterms:W3CDTF">2023-02-15T09:44:00Z</dcterms:created>
  <dcterms:modified xsi:type="dcterms:W3CDTF">2023-04-02T14:37:00Z</dcterms:modified>
</cp:coreProperties>
</file>